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4B" w:rsidRPr="0086084B" w:rsidRDefault="0086084B" w:rsidP="0086084B">
      <w:pPr>
        <w:keepNext w:val="0"/>
        <w:keepLines w:val="0"/>
        <w:spacing w:before="100" w:beforeAutospacing="1" w:after="100" w:afterAutospacing="1" w:line="240" w:lineRule="auto"/>
        <w:outlineLvl w:val="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6084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Centrum Usług Społecznych w Myślenicach z grantem na </w:t>
      </w:r>
      <w:r w:rsidR="00A522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usługę pielęgniarki edukacyjnej</w:t>
      </w:r>
    </w:p>
    <w:p w:rsidR="0086084B" w:rsidRPr="0086084B" w:rsidRDefault="0086084B" w:rsidP="0086084B">
      <w:pPr>
        <w:keepNext w:val="0"/>
        <w:keepLines w:val="0"/>
        <w:spacing w:before="100" w:beforeAutospacing="1" w:after="100" w:afterAutospacing="1" w:line="240" w:lineRule="auto"/>
        <w:outlineLvl w:val="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Centrum Usług Społecznych w Myślenicach otrzymało grant w wysokości </w:t>
      </w:r>
      <w:r w:rsidR="00A5220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21 424,00</w:t>
      </w:r>
      <w:r w:rsidRPr="0086084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PLN</w:t>
      </w: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realizację usług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pielęgniarki edukacyjnej</w:t>
      </w: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ramach projektu grantowego „Premia społeczna”. Środki zostały przyznane przez Fundację „Fundusz Współpracy” z siedzibą w Warszawie, ul. Górnośląska 4A, 00-444 Warszawa, w ramach Programu Fundusze Europejskie dla Rozwoju Społecznego 2021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–2027</w:t>
      </w: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5020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Całkowita wartość zadania </w:t>
      </w:r>
      <w:r w:rsidR="00502020" w:rsidRPr="005020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72 960,00 zł</w:t>
      </w:r>
      <w:r w:rsidR="005020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bookmarkStart w:id="0" w:name="_GoBack"/>
      <w:bookmarkEnd w:id="0"/>
    </w:p>
    <w:p w:rsidR="0086084B" w:rsidRPr="0086084B" w:rsidRDefault="0086084B" w:rsidP="00A52200">
      <w:pPr>
        <w:keepNext w:val="0"/>
        <w:keepLines w:val="0"/>
        <w:spacing w:before="100" w:beforeAutospacing="1" w:after="100" w:afterAutospacing="1" w:line="240" w:lineRule="auto"/>
        <w:outlineLvl w:val="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>Grant zostanie przeznaczony na świadczenie usług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pielęgniarki edukacyjnej, usługa świadczona będzie</w:t>
      </w: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miejscu zamieszkania dla osób z terenu Miasta i Gminy Myślenice, które z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łożyły wniosek i potrzebują specjalistycznego wsparcia w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sytuacjach, 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gdy nie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posiadają odpow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iedniej wiedzy i umiejętności w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zakresie opieki 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nad osobą zależną. Pielęgniarka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edukacyjna będzie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uczyć opiekunów, jak właściwie z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ajmować s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ię osobą wymagającą wsparcia, w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tym: - jak pr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zeprowadzać codzienne czynności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pielęgnacyjn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e, - jak zapobiegać odleżynom i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innym powikłan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iom zdrowotnym - jak obsługiwać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sprzęt medyczny, - jak zapewnić od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powiednie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wsparcie psyc</w:t>
      </w:r>
      <w:r w:rsidR="00A522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hologiczne i emocjonalne osobie </w:t>
      </w:r>
      <w:r w:rsidR="00A52200" w:rsidRPr="00A52200">
        <w:rPr>
          <w:rFonts w:ascii="Times New Roman" w:eastAsia="Times New Roman" w:hAnsi="Times New Roman" w:cs="Times New Roman"/>
          <w:color w:val="auto"/>
          <w:sz w:val="24"/>
          <w:szCs w:val="24"/>
        </w:rPr>
        <w:t>chorej.</w:t>
      </w:r>
    </w:p>
    <w:p w:rsidR="0086084B" w:rsidRPr="0086084B" w:rsidRDefault="0086084B" w:rsidP="0086084B">
      <w:pPr>
        <w:keepNext w:val="0"/>
        <w:keepLines w:val="0"/>
        <w:spacing w:before="100" w:beforeAutospacing="1" w:after="100" w:afterAutospacing="1" w:line="240" w:lineRule="auto"/>
        <w:outlineLvl w:val="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Projekt będzie realizowany w latach 2025–2026 i obejmie łącznie </w:t>
      </w:r>
      <w:r w:rsidR="00502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780</w:t>
      </w:r>
      <w:r w:rsidRPr="0086084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godzin usług</w:t>
      </w:r>
      <w:r w:rsidR="0050202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 pielęgniarki edukacyjnej</w:t>
      </w: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502020">
        <w:rPr>
          <w:rFonts w:ascii="Times New Roman" w:eastAsia="Times New Roman" w:hAnsi="Times New Roman" w:cs="Times New Roman"/>
          <w:color w:val="auto"/>
          <w:sz w:val="24"/>
          <w:szCs w:val="24"/>
        </w:rPr>
        <w:t>540</w:t>
      </w: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godzin w 2025 roku oraz </w:t>
      </w:r>
      <w:r w:rsidR="00502020">
        <w:rPr>
          <w:rFonts w:ascii="Times New Roman" w:eastAsia="Times New Roman" w:hAnsi="Times New Roman" w:cs="Times New Roman"/>
          <w:color w:val="auto"/>
          <w:sz w:val="24"/>
          <w:szCs w:val="24"/>
        </w:rPr>
        <w:t>240</w:t>
      </w: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godzin w 2026 roku.</w:t>
      </w:r>
    </w:p>
    <w:p w:rsidR="0086084B" w:rsidRPr="0086084B" w:rsidRDefault="0086084B" w:rsidP="0086084B">
      <w:pPr>
        <w:keepNext w:val="0"/>
        <w:keepLines w:val="0"/>
        <w:spacing w:before="100" w:beforeAutospacing="1" w:after="100" w:afterAutospacing="1" w:line="240" w:lineRule="auto"/>
        <w:outlineLvl w:val="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6084B">
        <w:rPr>
          <w:rFonts w:ascii="Times New Roman" w:eastAsia="Times New Roman" w:hAnsi="Times New Roman" w:cs="Times New Roman"/>
          <w:color w:val="auto"/>
          <w:sz w:val="24"/>
          <w:szCs w:val="24"/>
        </w:rPr>
        <w:t>Celem projektu jest poprawa jakości życia osób niesamodzielnych, starszych i chorych, które nie mają dostępu do wystarczającego wsparcia ze strony rodziny lub bliskich. Środki finansowe pozwolą na zapewnienie opieki i wsparcia, które umożliwią podopiecznym godne życie w ich własnym środowisku domowym.</w:t>
      </w:r>
    </w:p>
    <w:p w:rsidR="0086084B" w:rsidRDefault="0086084B" w:rsidP="0086084B">
      <w:pPr>
        <w:keepNext w:val="0"/>
        <w:keepLines w:val="0"/>
        <w:spacing w:before="0" w:after="160" w:line="259" w:lineRule="auto"/>
        <w:rPr>
          <w:color w:val="000000"/>
          <w:highlight w:val="white"/>
        </w:rPr>
      </w:pPr>
    </w:p>
    <w:sectPr w:rsidR="0086084B" w:rsidSect="00D40F3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794" w:bottom="1702" w:left="79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D6" w:rsidRDefault="003854D6">
      <w:pPr>
        <w:spacing w:before="0" w:line="240" w:lineRule="auto"/>
      </w:pPr>
      <w:r>
        <w:separator/>
      </w:r>
    </w:p>
  </w:endnote>
  <w:endnote w:type="continuationSeparator" w:id="0">
    <w:p w:rsidR="003854D6" w:rsidRDefault="003854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Poppi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76" w:rsidRDefault="00D822E9">
    <w:pPr>
      <w:pBdr>
        <w:top w:val="nil"/>
        <w:left w:val="nil"/>
        <w:bottom w:val="nil"/>
        <w:right w:val="nil"/>
        <w:between w:val="nil"/>
      </w:pBdr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end"/>
    </w:r>
  </w:p>
  <w:p w:rsidR="00AE2276" w:rsidRDefault="00AE2276">
    <w:pPr>
      <w:pBdr>
        <w:top w:val="nil"/>
        <w:left w:val="nil"/>
        <w:bottom w:val="nil"/>
        <w:right w:val="nil"/>
        <w:between w:val="nil"/>
      </w:pBdr>
      <w:ind w:firstLine="360"/>
      <w:rPr>
        <w:rFonts w:eastAsia="Open Sans"/>
        <w:color w:val="01163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76" w:rsidRDefault="00D822E9" w:rsidP="00D40F32">
    <w:pPr>
      <w:pBdr>
        <w:top w:val="nil"/>
        <w:left w:val="nil"/>
        <w:bottom w:val="nil"/>
        <w:right w:val="nil"/>
        <w:between w:val="nil"/>
      </w:pBdr>
      <w:jc w:val="center"/>
      <w:rPr>
        <w:rFonts w:eastAsia="Open Sans"/>
        <w:color w:val="011638"/>
        <w:sz w:val="18"/>
        <w:szCs w:val="18"/>
      </w:rPr>
    </w:pPr>
    <w:r>
      <w:rPr>
        <w:rFonts w:eastAsia="Open Sans"/>
        <w:color w:val="011638"/>
        <w:sz w:val="18"/>
        <w:szCs w:val="18"/>
      </w:rPr>
      <w:fldChar w:fldCharType="begin"/>
    </w:r>
    <w:r>
      <w:rPr>
        <w:rFonts w:eastAsia="Open Sans"/>
        <w:color w:val="011638"/>
        <w:sz w:val="18"/>
        <w:szCs w:val="18"/>
      </w:rPr>
      <w:instrText>PAGE</w:instrText>
    </w:r>
    <w:r>
      <w:rPr>
        <w:rFonts w:eastAsia="Open Sans"/>
        <w:color w:val="011638"/>
        <w:sz w:val="18"/>
        <w:szCs w:val="18"/>
      </w:rPr>
      <w:fldChar w:fldCharType="separate"/>
    </w:r>
    <w:r w:rsidR="00A52200">
      <w:rPr>
        <w:rFonts w:eastAsia="Open Sans"/>
        <w:noProof/>
        <w:color w:val="011638"/>
        <w:sz w:val="18"/>
        <w:szCs w:val="18"/>
      </w:rPr>
      <w:t>2</w:t>
    </w:r>
    <w:r>
      <w:rPr>
        <w:rFonts w:eastAsia="Open Sans"/>
        <w:color w:val="011638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-487679</wp:posOffset>
          </wp:positionH>
          <wp:positionV relativeFrom="paragraph">
            <wp:posOffset>655320</wp:posOffset>
          </wp:positionV>
          <wp:extent cx="10655300" cy="17716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0" cy="177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76" w:rsidRDefault="00D40F32"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6985</wp:posOffset>
          </wp:positionH>
          <wp:positionV relativeFrom="page">
            <wp:posOffset>6407997</wp:posOffset>
          </wp:positionV>
          <wp:extent cx="10706463" cy="1134534"/>
          <wp:effectExtent l="0" t="0" r="0" b="889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_stopka_poziom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463" cy="1134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D6" w:rsidRDefault="003854D6">
      <w:pPr>
        <w:spacing w:before="0" w:line="240" w:lineRule="auto"/>
      </w:pPr>
      <w:r>
        <w:separator/>
      </w:r>
    </w:p>
  </w:footnote>
  <w:footnote w:type="continuationSeparator" w:id="0">
    <w:p w:rsidR="003854D6" w:rsidRDefault="003854D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76" w:rsidRDefault="00D40F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</w:rPr>
      <w:drawing>
        <wp:anchor distT="0" distB="0" distL="114300" distR="114300" simplePos="0" relativeHeight="251664384" behindDoc="1" locked="0" layoutInCell="1" allowOverlap="1" wp14:anchorId="686AA5C2" wp14:editId="5E65E9E7">
          <wp:simplePos x="0" y="0"/>
          <wp:positionH relativeFrom="page">
            <wp:posOffset>41063</wp:posOffset>
          </wp:positionH>
          <wp:positionV relativeFrom="page">
            <wp:posOffset>26247</wp:posOffset>
          </wp:positionV>
          <wp:extent cx="10627653" cy="965200"/>
          <wp:effectExtent l="0" t="0" r="254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7653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76" w:rsidRDefault="00D40F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eastAsia="Open Sans"/>
        <w:color w:val="011638"/>
      </w:rPr>
    </w:pPr>
    <w:r>
      <w:rPr>
        <w:rFonts w:eastAsia="Open Sans"/>
        <w:noProof/>
        <w:color w:val="01163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33866</wp:posOffset>
          </wp:positionH>
          <wp:positionV relativeFrom="page">
            <wp:posOffset>25400</wp:posOffset>
          </wp:positionV>
          <wp:extent cx="10627653" cy="965200"/>
          <wp:effectExtent l="0" t="0" r="254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_nagłówek_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6241" cy="9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3BF0"/>
    <w:multiLevelType w:val="multilevel"/>
    <w:tmpl w:val="6D0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02796"/>
    <w:multiLevelType w:val="multilevel"/>
    <w:tmpl w:val="994441A2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F3028A3"/>
    <w:multiLevelType w:val="hybridMultilevel"/>
    <w:tmpl w:val="C7547404"/>
    <w:lvl w:ilvl="0" w:tplc="C7220C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76"/>
    <w:rsid w:val="003854D6"/>
    <w:rsid w:val="00502020"/>
    <w:rsid w:val="0074194F"/>
    <w:rsid w:val="0086084B"/>
    <w:rsid w:val="00A52200"/>
    <w:rsid w:val="00AE2276"/>
    <w:rsid w:val="00D40F32"/>
    <w:rsid w:val="00D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5B744"/>
  <w15:docId w15:val="{18FEE522-2157-4B1C-836C-35181C0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color w:val="011638"/>
        <w:sz w:val="21"/>
        <w:szCs w:val="21"/>
        <w:lang w:val="pl-PL" w:eastAsia="pl-PL" w:bidi="ar-SA"/>
      </w:rPr>
    </w:rPrDefault>
    <w:pPrDefault>
      <w:pPr>
        <w:keepNext/>
        <w:keepLines/>
        <w:spacing w:before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C21"/>
    <w:pPr>
      <w:outlineLvl w:val="0"/>
    </w:pPr>
    <w:rPr>
      <w:rFonts w:eastAsiaTheme="majorEastAsia"/>
      <w:color w:val="011638" w:themeColor="tex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7162"/>
    <w:rPr>
      <w:rFonts w:ascii="Poppins" w:hAnsi="Poppins" w:cs="Poppins"/>
      <w:b/>
      <w:bCs/>
      <w:sz w:val="36"/>
      <w:szCs w:val="36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593C21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162"/>
    <w:pPr>
      <w:outlineLvl w:val="2"/>
    </w:pPr>
    <w:rPr>
      <w:rFonts w:ascii="Poppins" w:hAnsi="Poppins" w:cs="Poppins"/>
      <w:b/>
      <w:bCs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spacing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2"/>
    <w:next w:val="Normalny"/>
    <w:link w:val="TytuZnak"/>
    <w:uiPriority w:val="10"/>
    <w:qFormat/>
    <w:rsid w:val="00593C21"/>
    <w:rPr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839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923"/>
  </w:style>
  <w:style w:type="paragraph" w:styleId="Stopka">
    <w:name w:val="footer"/>
    <w:basedOn w:val="Normalny"/>
    <w:link w:val="StopkaZnak"/>
    <w:uiPriority w:val="99"/>
    <w:unhideWhenUsed/>
    <w:rsid w:val="00593C21"/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93C21"/>
    <w:rPr>
      <w:rFonts w:ascii="Open Sans" w:eastAsiaTheme="majorEastAsia" w:hAnsi="Open Sans" w:cs="Open Sans"/>
      <w:color w:val="011638" w:themeColor="text1"/>
      <w:sz w:val="18"/>
      <w:szCs w:val="18"/>
      <w:lang w:val="en-US"/>
    </w:rPr>
  </w:style>
  <w:style w:type="paragraph" w:styleId="Bezodstpw">
    <w:name w:val="No Spacing"/>
    <w:basedOn w:val="Normalny"/>
    <w:link w:val="BezodstpwZnak"/>
    <w:uiPriority w:val="1"/>
    <w:rsid w:val="00A67162"/>
  </w:style>
  <w:style w:type="character" w:customStyle="1" w:styleId="BezodstpwZnak">
    <w:name w:val="Bez odstępów Znak"/>
    <w:basedOn w:val="Domylnaczcionkaakapitu"/>
    <w:link w:val="Bezodstpw"/>
    <w:uiPriority w:val="1"/>
    <w:rsid w:val="00A67162"/>
    <w:rPr>
      <w:rFonts w:ascii="Open Sans" w:eastAsiaTheme="majorEastAsia" w:hAnsi="Open Sans" w:cs="Open Sans"/>
      <w:color w:val="011638" w:themeColor="text1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67162"/>
    <w:rPr>
      <w:rFonts w:ascii="Poppins" w:eastAsiaTheme="majorEastAsia" w:hAnsi="Poppins" w:cs="Poppins"/>
      <w:b/>
      <w:bCs/>
      <w:color w:val="011638" w:themeColor="text1"/>
      <w:sz w:val="36"/>
      <w:szCs w:val="36"/>
      <w:lang w:val="en-US"/>
    </w:rPr>
  </w:style>
  <w:style w:type="character" w:styleId="Pogrubienie">
    <w:name w:val="Strong"/>
    <w:uiPriority w:val="22"/>
    <w:qFormat/>
    <w:rsid w:val="00593C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93C21"/>
    <w:rPr>
      <w:rFonts w:ascii="Poppins" w:eastAsiaTheme="majorEastAsia" w:hAnsi="Poppins" w:cs="Poppins"/>
      <w:b/>
      <w:bCs/>
      <w:color w:val="011638" w:themeColor="text1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67162"/>
    <w:rPr>
      <w:rFonts w:ascii="Poppins" w:eastAsiaTheme="majorEastAsia" w:hAnsi="Poppins" w:cs="Poppins"/>
      <w:b/>
      <w:bCs/>
      <w:color w:val="011638" w:themeColor="text1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593C21"/>
    <w:rPr>
      <w:rFonts w:ascii="Poppins" w:eastAsiaTheme="majorEastAsia" w:hAnsi="Poppins" w:cs="Poppins"/>
      <w:b/>
      <w:bCs/>
      <w:color w:val="011638" w:themeColor="text1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593C21"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C21"/>
    <w:rPr>
      <w:rFonts w:ascii="Open Sans" w:eastAsiaTheme="majorEastAsia" w:hAnsi="Open Sans" w:cs="Open Sans"/>
      <w:color w:val="011638" w:themeColor="text1"/>
      <w:sz w:val="28"/>
      <w:szCs w:val="28"/>
      <w:lang w:val="en-US"/>
    </w:rPr>
  </w:style>
  <w:style w:type="paragraph" w:customStyle="1" w:styleId="Styl1">
    <w:name w:val="Styl1"/>
    <w:basedOn w:val="Akapitzlist"/>
    <w:rsid w:val="00593C21"/>
  </w:style>
  <w:style w:type="character" w:styleId="Numerstrony">
    <w:name w:val="page number"/>
    <w:basedOn w:val="Domylnaczcionkaakapitu"/>
    <w:uiPriority w:val="99"/>
    <w:semiHidden/>
    <w:unhideWhenUsed/>
    <w:rsid w:val="00DB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PS">
      <a:dk1>
        <a:srgbClr val="011638"/>
      </a:dk1>
      <a:lt1>
        <a:srgbClr val="FFFFFF"/>
      </a:lt1>
      <a:dk2>
        <a:srgbClr val="586383"/>
      </a:dk2>
      <a:lt2>
        <a:srgbClr val="EAEDF2"/>
      </a:lt2>
      <a:accent1>
        <a:srgbClr val="61C2AA"/>
      </a:accent1>
      <a:accent2>
        <a:srgbClr val="E6A388"/>
      </a:accent2>
      <a:accent3>
        <a:srgbClr val="586282"/>
      </a:accent3>
      <a:accent4>
        <a:srgbClr val="F5D0C3"/>
      </a:accent4>
      <a:accent5>
        <a:srgbClr val="011538"/>
      </a:accent5>
      <a:accent6>
        <a:srgbClr val="61C1A8"/>
      </a:accent6>
      <a:hlink>
        <a:srgbClr val="011638"/>
      </a:hlink>
      <a:folHlink>
        <a:srgbClr val="586383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95ZFRrGR2b+MdiXLyVP/M+3kA==">CgMxLjAyDmgua2ticGg5dzIybTR4Mg5oLnZ1MHRucWkyeTlmMzIOaC5jMXM2NndvcHl5cTQyDmgueHlrY2s1eTcyeXF5Mg5oLjFya3o5dnlhMWg2aDIOaC5wZzNxbHUxYWQxcXkyDmguM25xMWFsYnlvYTRoMg5oLjM0ajM2ZTNxMHV4YzIOaC5peDZ1Z2U1aHAyMnAyDmguMThpOWs1a3hvZzZnMg5oLmg5bG5icmNvM2F1MTIOaC5id2VjZmFxMjJtMjYyDmgucHAwZnY5YjMxMmpoMg5oLjYwNDZvcnlraGp6YjIOaC5wZDNtdTh3amFzaDYyDmguZ2lmbmVrcms1YzBpMghoLmdqZGd4czgAciExdS1UeEZUT2dLQ3R1RTFMazlIQXFSX1B1RmQ1b2kxe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Saban</dc:creator>
  <cp:lastModifiedBy>Hanna Padlikowska-Leśniak</cp:lastModifiedBy>
  <cp:revision>2</cp:revision>
  <dcterms:created xsi:type="dcterms:W3CDTF">2025-07-09T07:42:00Z</dcterms:created>
  <dcterms:modified xsi:type="dcterms:W3CDTF">2025-07-09T07:42:00Z</dcterms:modified>
</cp:coreProperties>
</file>